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DF" w:rsidRDefault="005F6FDF" w:rsidP="005F43B6">
      <w:pPr>
        <w:pStyle w:val="22"/>
        <w:keepNext/>
        <w:keepLines/>
        <w:shd w:val="clear" w:color="auto" w:fill="auto"/>
        <w:tabs>
          <w:tab w:val="left" w:pos="1461"/>
        </w:tabs>
        <w:spacing w:after="268" w:line="280" w:lineRule="exact"/>
        <w:ind w:firstLine="0"/>
      </w:pPr>
      <w:bookmarkStart w:id="0" w:name="bookmark6"/>
      <w:r>
        <w:rPr>
          <w:color w:val="000000"/>
          <w:lang w:eastAsia="ru-RU" w:bidi="ru-RU"/>
        </w:rPr>
        <w:t xml:space="preserve">           </w:t>
      </w:r>
      <w:bookmarkStart w:id="1" w:name="_GoBack"/>
      <w:r>
        <w:rPr>
          <w:color w:val="000000"/>
          <w:lang w:eastAsia="ru-RU" w:bidi="ru-RU"/>
        </w:rPr>
        <w:t>Порядок и условия предоставления медицинской помощи</w:t>
      </w:r>
      <w:bookmarkEnd w:id="0"/>
      <w:r w:rsidR="005F43B6">
        <w:rPr>
          <w:color w:val="000000"/>
          <w:lang w:eastAsia="ru-RU" w:bidi="ru-RU"/>
        </w:rPr>
        <w:t xml:space="preserve"> на 2018г</w:t>
      </w:r>
    </w:p>
    <w:p w:rsidR="005F6FDF" w:rsidRPr="007339F7" w:rsidRDefault="005F6FDF" w:rsidP="005F6FDF">
      <w:pPr>
        <w:widowControl w:val="0"/>
        <w:numPr>
          <w:ilvl w:val="0"/>
          <w:numId w:val="2"/>
        </w:numPr>
        <w:tabs>
          <w:tab w:val="left" w:pos="1555"/>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F6FDF" w:rsidRPr="007339F7" w:rsidRDefault="005F6FDF" w:rsidP="005F6FDF">
      <w:pPr>
        <w:widowControl w:val="0"/>
        <w:numPr>
          <w:ilvl w:val="0"/>
          <w:numId w:val="3"/>
        </w:numPr>
        <w:tabs>
          <w:tab w:val="left" w:pos="1450"/>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Понятие "лечащий врач" используется в Программе в значении, определенном в Федеральном законе от 21.11.2011 № 323-ФЗ "Об основах охраны здоровья граждан в Российской Федерации".</w:t>
      </w:r>
    </w:p>
    <w:p w:rsidR="005F6FDF" w:rsidRPr="007339F7" w:rsidRDefault="005F6FDF" w:rsidP="005F6FDF">
      <w:pPr>
        <w:widowControl w:val="0"/>
        <w:numPr>
          <w:ilvl w:val="0"/>
          <w:numId w:val="3"/>
        </w:numPr>
        <w:tabs>
          <w:tab w:val="left" w:pos="1446"/>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5F6FDF" w:rsidRPr="007339F7" w:rsidRDefault="005F6FDF" w:rsidP="005F6FDF">
      <w:pPr>
        <w:tabs>
          <w:tab w:val="left" w:pos="595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2012г.</w:t>
      </w:r>
      <w:r w:rsidRPr="007339F7">
        <w:rPr>
          <w:rFonts w:ascii="Times New Roman" w:hAnsi="Times New Roman" w:cs="Times New Roman"/>
          <w:color w:val="000000"/>
          <w:sz w:val="24"/>
          <w:szCs w:val="24"/>
          <w:lang w:eastAsia="ru-RU" w:bidi="ru-RU"/>
        </w:rPr>
        <w:tab/>
        <w:t>№ 407н «Об утверждении</w:t>
      </w:r>
    </w:p>
    <w:p w:rsidR="005F6FDF" w:rsidRPr="007339F7" w:rsidRDefault="005F6FDF" w:rsidP="005F6FDF">
      <w:pPr>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5F6FDF" w:rsidRPr="007339F7" w:rsidRDefault="00236E97" w:rsidP="005F6FDF">
      <w:pPr>
        <w:widowControl w:val="0"/>
        <w:numPr>
          <w:ilvl w:val="0"/>
          <w:numId w:val="2"/>
        </w:numPr>
        <w:tabs>
          <w:tab w:val="left" w:pos="1450"/>
        </w:tabs>
        <w:spacing w:after="0" w:line="360" w:lineRule="exact"/>
        <w:ind w:firstLine="740"/>
        <w:jc w:val="both"/>
        <w:rPr>
          <w:rFonts w:ascii="Times New Roman" w:hAnsi="Times New Roman" w:cs="Times New Roman"/>
          <w:sz w:val="24"/>
          <w:szCs w:val="24"/>
        </w:rPr>
      </w:pPr>
      <w:hyperlink w:anchor="bookmark10" w:tooltip="Current Document">
        <w:r w:rsidR="005F6FDF" w:rsidRPr="007339F7">
          <w:rPr>
            <w:rFonts w:ascii="Times New Roman" w:hAnsi="Times New Roman" w:cs="Times New Roman"/>
            <w:color w:val="000000"/>
            <w:sz w:val="24"/>
            <w:szCs w:val="24"/>
            <w:lang w:eastAsia="ru-RU" w:bidi="ru-RU"/>
          </w:rPr>
          <w:t xml:space="preserve">Порядок </w:t>
        </w:r>
      </w:hyperlink>
      <w:r w:rsidR="005F6FDF" w:rsidRPr="007339F7">
        <w:rPr>
          <w:rFonts w:ascii="Times New Roman" w:hAnsi="Times New Roman" w:cs="Times New Roman"/>
          <w:color w:val="000000"/>
          <w:sz w:val="24"/>
          <w:szCs w:val="24"/>
          <w:lang w:eastAsia="ru-RU" w:bidi="ru-RU"/>
        </w:rP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w:t>
      </w:r>
    </w:p>
    <w:p w:rsidR="005F6FDF" w:rsidRPr="007339F7" w:rsidRDefault="005F6FDF" w:rsidP="005F6FDF">
      <w:pPr>
        <w:widowControl w:val="0"/>
        <w:numPr>
          <w:ilvl w:val="0"/>
          <w:numId w:val="2"/>
        </w:numPr>
        <w:tabs>
          <w:tab w:val="left" w:pos="1446"/>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w:t>
      </w:r>
      <w:r w:rsidRPr="007339F7">
        <w:rPr>
          <w:rFonts w:ascii="Times New Roman" w:hAnsi="Times New Roman" w:cs="Times New Roman"/>
          <w:color w:val="000000"/>
          <w:sz w:val="24"/>
          <w:szCs w:val="24"/>
          <w:lang w:eastAsia="ru-RU" w:bidi="ru-RU"/>
        </w:rPr>
        <w:lastRenderedPageBreak/>
        <w:t>групп населения, при амбулаторном лечении которых лекарственные средства отпускаются по рецептам врачей с 50-процентной скидкой, согласно приложению № 20 к Программе.</w:t>
      </w:r>
    </w:p>
    <w:p w:rsidR="005F6FDF" w:rsidRPr="007339F7" w:rsidRDefault="005F6FDF" w:rsidP="005F6FDF">
      <w:pPr>
        <w:widowControl w:val="0"/>
        <w:numPr>
          <w:ilvl w:val="0"/>
          <w:numId w:val="2"/>
        </w:numPr>
        <w:tabs>
          <w:tab w:val="left" w:pos="1296"/>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Программе.</w:t>
      </w:r>
    </w:p>
    <w:p w:rsidR="005F6FDF" w:rsidRPr="007339F7" w:rsidRDefault="005F6FDF" w:rsidP="005F6FDF">
      <w:pPr>
        <w:widowControl w:val="0"/>
        <w:numPr>
          <w:ilvl w:val="0"/>
          <w:numId w:val="2"/>
        </w:numPr>
        <w:tabs>
          <w:tab w:val="left" w:pos="1430"/>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Перечень мероприятий по профилактике заболеваний и формированию здорового образа жизни.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рамках Программы осуществляются следующие мероприятия по профилактике заболеваний и формированию здорового образа жизни: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5F6FDF" w:rsidRPr="007339F7" w:rsidRDefault="005F6FDF" w:rsidP="005F6FDF">
      <w:pPr>
        <w:tabs>
          <w:tab w:val="left" w:pos="3942"/>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медицинские осмотры:</w:t>
      </w:r>
      <w:r w:rsidRPr="007339F7">
        <w:rPr>
          <w:rFonts w:ascii="Times New Roman" w:hAnsi="Times New Roman" w:cs="Times New Roman"/>
          <w:color w:val="000000"/>
          <w:sz w:val="24"/>
          <w:szCs w:val="24"/>
          <w:lang w:eastAsia="ru-RU" w:bidi="ru-RU"/>
        </w:rPr>
        <w:tab/>
        <w:t>профилактические медицинские осмотры;</w:t>
      </w:r>
    </w:p>
    <w:p w:rsidR="005F6FDF" w:rsidRPr="007339F7" w:rsidRDefault="005F6FDF" w:rsidP="00246BB3">
      <w:pPr>
        <w:tabs>
          <w:tab w:val="left" w:pos="7046"/>
        </w:tabs>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медицинские осмотры несовершеннолетних и обучающихся в образовательных организациях по очной форме:</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профилактические</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консультирование по вопросам сохранения и укрепления здоровья, профилактике заболеваний;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мероприятия по предупреждению абортов;</w:t>
      </w:r>
    </w:p>
    <w:p w:rsidR="005F6FDF" w:rsidRPr="007339F7" w:rsidRDefault="005F6FDF" w:rsidP="005F6FDF">
      <w:pPr>
        <w:spacing w:after="0" w:line="360" w:lineRule="exact"/>
        <w:ind w:firstLine="740"/>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диспансерное наблюдение несовершеннолетних, женщин в период беременности и лиц с хроническими заболеваниями; диспансеризация отдельных категорий граждан.</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проводится в отношении следующих категорий граждан:</w:t>
      </w:r>
    </w:p>
    <w:p w:rsidR="005F6FDF" w:rsidRPr="007339F7" w:rsidRDefault="005F6FDF" w:rsidP="005F6FDF">
      <w:pPr>
        <w:spacing w:after="0" w:line="360" w:lineRule="exact"/>
        <w:ind w:left="740"/>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диспансеризация определенных групп взрослого населения; диспансеризация детей-сирот и детей, оставшихся без попечения</w:t>
      </w:r>
    </w:p>
    <w:p w:rsidR="005F6FDF" w:rsidRPr="007339F7" w:rsidRDefault="005F6FDF" w:rsidP="005F6FDF">
      <w:pPr>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родителей, в том числе усыновленных (удочеренных), принятых под опеку (попечительство) в приемную или патронатную семью;</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детей-сирот, пребывающих в стационарных учреждениях, и детей, находящихся в трудной жизненной ситуации;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 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339F7">
        <w:rPr>
          <w:rFonts w:ascii="Times New Roman" w:hAnsi="Times New Roman" w:cs="Times New Roman"/>
          <w:color w:val="000000"/>
          <w:sz w:val="24"/>
          <w:szCs w:val="24"/>
          <w:lang w:eastAsia="ru-RU" w:bidi="ru-RU"/>
        </w:rPr>
        <w:t>Теча</w:t>
      </w:r>
      <w:proofErr w:type="spellEnd"/>
      <w:r w:rsidRPr="007339F7">
        <w:rPr>
          <w:rFonts w:ascii="Times New Roman" w:hAnsi="Times New Roman" w:cs="Times New Roman"/>
          <w:color w:val="000000"/>
          <w:sz w:val="24"/>
          <w:szCs w:val="24"/>
          <w:lang w:eastAsia="ru-RU" w:bidi="ru-RU"/>
        </w:rPr>
        <w:t>».</w:t>
      </w:r>
    </w:p>
    <w:p w:rsidR="005F6FDF" w:rsidRPr="007339F7" w:rsidRDefault="005F6FDF" w:rsidP="005F6FDF">
      <w:pPr>
        <w:widowControl w:val="0"/>
        <w:numPr>
          <w:ilvl w:val="0"/>
          <w:numId w:val="2"/>
        </w:numPr>
        <w:tabs>
          <w:tab w:val="left" w:pos="1262"/>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Перечень медицинских организаций, участвующих в реализации Программы, в том числе Территориальной программы ОМС, определен в приложении № 1 к Программе.</w:t>
      </w:r>
    </w:p>
    <w:p w:rsidR="005F6FDF" w:rsidRPr="007339F7" w:rsidRDefault="005F6FDF" w:rsidP="005F6FDF">
      <w:pPr>
        <w:widowControl w:val="0"/>
        <w:numPr>
          <w:ilvl w:val="0"/>
          <w:numId w:val="2"/>
        </w:numPr>
        <w:tabs>
          <w:tab w:val="left" w:pos="1262"/>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круглосуточных стационарах госпитализация в больничное (стационарное) учреждение осуществляется:</w:t>
      </w:r>
    </w:p>
    <w:p w:rsidR="005F6FDF" w:rsidRPr="007339F7" w:rsidRDefault="005F6FDF" w:rsidP="005F6FDF">
      <w:pPr>
        <w:spacing w:after="0" w:line="360" w:lineRule="exact"/>
        <w:ind w:firstLine="740"/>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 направлению врача медицинской организации, независимо от формы собственности и ведомственной принадлежности; скорой медицинской помощью;</w:t>
      </w:r>
    </w:p>
    <w:p w:rsidR="005F6FDF" w:rsidRPr="007339F7" w:rsidRDefault="005F6FDF" w:rsidP="005F6FDF">
      <w:pPr>
        <w:spacing w:after="0" w:line="360" w:lineRule="exact"/>
        <w:ind w:firstLine="740"/>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самостоятельном обращении больного по экстренным показаниям. Экстренная госпитализация осуществляется безотлагательно, вне очереди.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sidRPr="007339F7">
        <w:rPr>
          <w:rFonts w:ascii="Times New Roman" w:hAnsi="Times New Roman" w:cs="Times New Roman"/>
          <w:color w:val="000000"/>
          <w:sz w:val="24"/>
          <w:szCs w:val="24"/>
          <w:lang w:eastAsia="ru-RU" w:bidi="ru-RU"/>
        </w:rPr>
        <w:t>догоспитальное</w:t>
      </w:r>
      <w:proofErr w:type="spellEnd"/>
      <w:r w:rsidRPr="007339F7">
        <w:rPr>
          <w:rFonts w:ascii="Times New Roman" w:hAnsi="Times New Roman" w:cs="Times New Roman"/>
          <w:color w:val="000000"/>
          <w:sz w:val="24"/>
          <w:szCs w:val="24"/>
          <w:lang w:eastAsia="ru-RU" w:bidi="ru-RU"/>
        </w:rPr>
        <w:t xml:space="preserve"> обследование в соответствии с установленными требованиями.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Больные могут быть размещены в палатах от двух и более мест.</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sidRPr="007339F7">
        <w:rPr>
          <w:rFonts w:ascii="Times New Roman" w:hAnsi="Times New Roman" w:cs="Times New Roman"/>
          <w:color w:val="000000"/>
          <w:sz w:val="24"/>
          <w:szCs w:val="24"/>
          <w:lang w:eastAsia="ru-RU" w:bidi="ru-RU"/>
        </w:rPr>
        <w:t>догоспитальном</w:t>
      </w:r>
      <w:proofErr w:type="spellEnd"/>
      <w:r w:rsidRPr="007339F7">
        <w:rPr>
          <w:rFonts w:ascii="Times New Roman" w:hAnsi="Times New Roman" w:cs="Times New Roman"/>
          <w:color w:val="000000"/>
          <w:sz w:val="24"/>
          <w:szCs w:val="24"/>
          <w:lang w:eastAsia="ru-RU" w:bidi="ru-RU"/>
        </w:rPr>
        <w:t xml:space="preserve"> или госпитальном этапах.</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 медицинским показаниям больным предоставляется пост индивидуального ухода.</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Необходимые для конкретного больного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Обеспечение застрахованных граждан лекарственными препаратами в круглосуточном стационаре осуществляется бесплатно за счет средств ОМС.</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8.7.1. В дневных стационарах всех типов плановая госпитализация осуществляется по направлению лечащего врача поликлиники.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условии пребывания в дневном стационаре более четырех часов пациенты обеспечиваются лечебным питанием.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дневных стационарах всех типов лечение пациентов по следующим показаниям: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необходимость продолжения курса лечения после выписки из круглосуточного стационара;</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необходимость проведения реабилитационного лечения при невозможности его проведения в амбулаторных условиях;</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sidRPr="007339F7">
        <w:rPr>
          <w:rFonts w:ascii="Times New Roman" w:hAnsi="Times New Roman" w:cs="Times New Roman"/>
          <w:color w:val="000000"/>
          <w:sz w:val="24"/>
          <w:szCs w:val="24"/>
          <w:lang w:eastAsia="ru-RU" w:bidi="ru-RU"/>
        </w:rPr>
        <w:t>аллергоспецифической</w:t>
      </w:r>
      <w:proofErr w:type="spellEnd"/>
      <w:r w:rsidRPr="007339F7">
        <w:rPr>
          <w:rFonts w:ascii="Times New Roman" w:hAnsi="Times New Roman" w:cs="Times New Roman"/>
          <w:color w:val="000000"/>
          <w:sz w:val="24"/>
          <w:szCs w:val="24"/>
          <w:lang w:eastAsia="ru-RU" w:bidi="ru-RU"/>
        </w:rPr>
        <w:t xml:space="preserve"> иммунотерапии (АСИТ) детям до 14 лет и детям-инвалидам до 18 лет;</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подбор адекватной терапии больным с впервые установленным диагнозом заболевания или хроническим больным при изменении степени тяжести заболевания;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проведение комплексного курсового лечения с применением современных технологий больным, не требующим круглосуточного медицинского наблюдения;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осуществление реабилитационного и оздоровительного лечения больных и инвалидов, беременных женщин;</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Программе.</w:t>
      </w:r>
    </w:p>
    <w:p w:rsidR="005F6FDF" w:rsidRPr="00246BB3" w:rsidRDefault="005F6FDF" w:rsidP="005F6FDF">
      <w:pPr>
        <w:widowControl w:val="0"/>
        <w:numPr>
          <w:ilvl w:val="0"/>
          <w:numId w:val="2"/>
        </w:numPr>
        <w:tabs>
          <w:tab w:val="left" w:pos="1253"/>
        </w:tabs>
        <w:spacing w:after="0" w:line="360" w:lineRule="exact"/>
        <w:ind w:firstLine="740"/>
        <w:jc w:val="both"/>
        <w:rPr>
          <w:rFonts w:ascii="Times New Roman" w:hAnsi="Times New Roman" w:cs="Times New Roman"/>
          <w:sz w:val="24"/>
          <w:szCs w:val="24"/>
        </w:rPr>
      </w:pPr>
      <w:r w:rsidRPr="00246BB3">
        <w:rPr>
          <w:rFonts w:ascii="Times New Roman" w:hAnsi="Times New Roman" w:cs="Times New Roman"/>
          <w:color w:val="000000"/>
          <w:sz w:val="24"/>
          <w:szCs w:val="24"/>
          <w:lang w:eastAsia="ru-RU" w:bidi="ru-RU"/>
        </w:rPr>
        <w:t>Условия размещения пациентов в маломестных палатах (боксах) по медицинским и (или) эпидемиологическим показаниям, установленным</w:t>
      </w:r>
      <w:r w:rsidR="00246BB3">
        <w:rPr>
          <w:rFonts w:ascii="Times New Roman" w:hAnsi="Times New Roman" w:cs="Times New Roman"/>
          <w:color w:val="000000"/>
          <w:sz w:val="24"/>
          <w:szCs w:val="24"/>
          <w:lang w:eastAsia="ru-RU" w:bidi="ru-RU"/>
        </w:rPr>
        <w:t xml:space="preserve"> </w:t>
      </w:r>
      <w:r w:rsidRPr="00246BB3">
        <w:rPr>
          <w:rFonts w:ascii="Times New Roman" w:hAnsi="Times New Roman" w:cs="Times New Roman"/>
          <w:color w:val="000000"/>
          <w:sz w:val="24"/>
          <w:szCs w:val="24"/>
          <w:lang w:eastAsia="ru-RU" w:bidi="ru-RU"/>
        </w:rPr>
        <w:t>Министерством здравоохранения Российской Федерации.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w:t>
      </w:r>
    </w:p>
    <w:p w:rsidR="005F6FDF" w:rsidRPr="007339F7" w:rsidRDefault="005F6FDF" w:rsidP="005F6FDF">
      <w:pPr>
        <w:widowControl w:val="0"/>
        <w:numPr>
          <w:ilvl w:val="0"/>
          <w:numId w:val="2"/>
        </w:numPr>
        <w:tabs>
          <w:tab w:val="left" w:pos="1330"/>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осуществляются согласно Федерального закона от 21 декабря 1996 г. № 159-ФЗ «О дополнительных гарантиях по социальной поддержке детей-сирот и детей, оставшихся без попечения родителей».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Согласно пункту 1 статьи 7 Федерального закона от 21 декабря 1996 г. № 159-ФЗ "О дополнительных гарантиях по социальной поддержке детей- сирот и детей, оставшихся без попечения родителей" детям-сиротам и детям, оставшимся без попечения родителей, а </w:t>
      </w:r>
      <w:r w:rsidRPr="007339F7">
        <w:rPr>
          <w:rFonts w:ascii="Times New Roman" w:hAnsi="Times New Roman" w:cs="Times New Roman"/>
          <w:color w:val="000000"/>
          <w:sz w:val="24"/>
          <w:szCs w:val="24"/>
          <w:lang w:eastAsia="ru-RU" w:bidi="ru-RU"/>
        </w:rPr>
        <w:lastRenderedPageBreak/>
        <w:t>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w:t>
      </w:r>
    </w:p>
    <w:p w:rsidR="00C021E6" w:rsidRDefault="005F6FDF" w:rsidP="00C021E6">
      <w:pPr>
        <w:tabs>
          <w:tab w:val="left" w:pos="6826"/>
        </w:tabs>
        <w:spacing w:after="0" w:line="360" w:lineRule="exact"/>
        <w:ind w:firstLine="740"/>
        <w:jc w:val="both"/>
        <w:rPr>
          <w:rFonts w:ascii="Times New Roman" w:hAnsi="Times New Roman" w:cs="Times New Roman"/>
          <w:color w:val="000000"/>
          <w:sz w:val="24"/>
          <w:szCs w:val="24"/>
          <w:lang w:eastAsia="ru-RU" w:bidi="ru-RU"/>
        </w:rPr>
      </w:pPr>
      <w:r w:rsidRPr="007339F7">
        <w:rPr>
          <w:rFonts w:ascii="Times New Roman" w:hAnsi="Times New Roman" w:cs="Times New Roman"/>
          <w:color w:val="000000"/>
          <w:sz w:val="24"/>
          <w:szCs w:val="24"/>
          <w:lang w:eastAsia="ru-RU" w:bidi="ru-RU"/>
        </w:rPr>
        <w:t xml:space="preserve">Во исполнение Указа Президента РФ принято постановление Правительства РФ от 14 февраля 2013 г. №116 «О мерах </w:t>
      </w:r>
      <w:proofErr w:type="spellStart"/>
      <w:r w:rsidRPr="007339F7">
        <w:rPr>
          <w:rFonts w:ascii="Times New Roman" w:hAnsi="Times New Roman" w:cs="Times New Roman"/>
          <w:color w:val="000000"/>
          <w:sz w:val="24"/>
          <w:szCs w:val="24"/>
          <w:lang w:eastAsia="ru-RU" w:bidi="ru-RU"/>
        </w:rPr>
        <w:t>посовершенствованию</w:t>
      </w:r>
      <w:proofErr w:type="spellEnd"/>
      <w:r w:rsidRPr="007339F7">
        <w:rPr>
          <w:rFonts w:ascii="Times New Roman" w:hAnsi="Times New Roman" w:cs="Times New Roman"/>
          <w:color w:val="000000"/>
          <w:sz w:val="24"/>
          <w:szCs w:val="24"/>
          <w:lang w:eastAsia="ru-RU" w:bidi="ru-RU"/>
        </w:rPr>
        <w:t xml:space="preserve"> организации медицинской помощи детям-сиротам и детям, оставшимся без попечения родителей», а также Приказ Министерства здравоохранения РФ от 11 апреля 2013 г. № 216н «Об утверждении порядка диспансеризации детей-сирот и детей, оставшихся без попечения родителей, в</w:t>
      </w:r>
      <w:r w:rsidRPr="007339F7">
        <w:rPr>
          <w:rFonts w:ascii="Times New Roman" w:hAnsi="Times New Roman" w:cs="Times New Roman"/>
          <w:color w:val="000000"/>
          <w:sz w:val="24"/>
          <w:szCs w:val="24"/>
          <w:lang w:eastAsia="ru-RU" w:bidi="ru-RU"/>
        </w:rPr>
        <w:tab/>
        <w:t>том</w:t>
      </w:r>
    </w:p>
    <w:p w:rsidR="005F6FDF" w:rsidRPr="007339F7" w:rsidRDefault="00C021E6" w:rsidP="00C021E6">
      <w:pPr>
        <w:tabs>
          <w:tab w:val="left" w:pos="6826"/>
        </w:tabs>
        <w:spacing w:after="0" w:line="360" w:lineRule="exact"/>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w:t>
      </w:r>
      <w:r w:rsidR="005F6FDF" w:rsidRPr="007339F7">
        <w:rPr>
          <w:rFonts w:ascii="Times New Roman" w:hAnsi="Times New Roman" w:cs="Times New Roman"/>
          <w:color w:val="000000"/>
          <w:sz w:val="24"/>
          <w:szCs w:val="24"/>
          <w:lang w:eastAsia="ru-RU" w:bidi="ru-RU"/>
        </w:rPr>
        <w:t>исле</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усыновлённых</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(удочерённых),</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принятых</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под</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опеку</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(попечительство), в приёмную 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том</w:t>
      </w:r>
      <w:r>
        <w:rPr>
          <w:rFonts w:ascii="Times New Roman" w:hAnsi="Times New Roman" w:cs="Times New Roman"/>
          <w:color w:val="000000"/>
          <w:sz w:val="24"/>
          <w:szCs w:val="24"/>
          <w:lang w:eastAsia="ru-RU" w:bidi="ru-RU"/>
        </w:rPr>
        <w:t xml:space="preserve"> </w:t>
      </w:r>
      <w:proofErr w:type="gramStart"/>
      <w:r w:rsidR="005F6FDF" w:rsidRPr="007339F7">
        <w:rPr>
          <w:rFonts w:ascii="Times New Roman" w:hAnsi="Times New Roman" w:cs="Times New Roman"/>
          <w:color w:val="000000"/>
          <w:sz w:val="24"/>
          <w:szCs w:val="24"/>
          <w:lang w:eastAsia="ru-RU" w:bidi="ru-RU"/>
        </w:rPr>
        <w:t>числе</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усыновлённых</w:t>
      </w:r>
      <w:proofErr w:type="gramEnd"/>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(удочерённых),</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принятых</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под</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опеку</w:t>
      </w: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w:t>
      </w:r>
    </w:p>
    <w:p w:rsidR="005F6FDF" w:rsidRPr="007339F7" w:rsidRDefault="005F6FDF" w:rsidP="005F6FDF">
      <w:pPr>
        <w:widowControl w:val="0"/>
        <w:numPr>
          <w:ilvl w:val="0"/>
          <w:numId w:val="4"/>
        </w:numPr>
        <w:tabs>
          <w:tab w:val="left" w:pos="1505"/>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5F6FDF" w:rsidRPr="007339F7" w:rsidRDefault="005F6FDF" w:rsidP="005F6FDF">
      <w:pPr>
        <w:widowControl w:val="0"/>
        <w:numPr>
          <w:ilvl w:val="0"/>
          <w:numId w:val="4"/>
        </w:numPr>
        <w:tabs>
          <w:tab w:val="left" w:pos="1505"/>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Условия и сроки диспансеризации населения для отдельных категорий </w:t>
      </w:r>
      <w:r w:rsidRPr="007339F7">
        <w:rPr>
          <w:rFonts w:ascii="Times New Roman" w:hAnsi="Times New Roman" w:cs="Times New Roman"/>
          <w:color w:val="000000"/>
          <w:sz w:val="24"/>
          <w:szCs w:val="24"/>
          <w:lang w:eastAsia="ru-RU" w:bidi="ru-RU"/>
        </w:rPr>
        <w:lastRenderedPageBreak/>
        <w:t>населения.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F6FDF" w:rsidRPr="007339F7" w:rsidRDefault="00C021E6" w:rsidP="00C021E6">
      <w:pPr>
        <w:spacing w:after="0" w:line="360" w:lineRule="exact"/>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Диспансеризация определенных групп взрослого населения проводится путем углубленного обследования состояния здоровья граждан в целях:</w:t>
      </w:r>
    </w:p>
    <w:p w:rsidR="005F6FDF" w:rsidRPr="007339F7" w:rsidRDefault="00C021E6" w:rsidP="00C021E6">
      <w:pPr>
        <w:spacing w:after="0" w:line="360" w:lineRule="exact"/>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5F6FDF" w:rsidRPr="007339F7">
        <w:rPr>
          <w:rFonts w:ascii="Times New Roman" w:hAnsi="Times New Roman" w:cs="Times New Roman"/>
          <w:color w:val="000000"/>
          <w:sz w:val="24"/>
          <w:szCs w:val="24"/>
          <w:lang w:eastAsia="ru-RU" w:bidi="ru-RU"/>
        </w:rPr>
        <w:t xml:space="preserve">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rsidR="005F6FDF" w:rsidRPr="007339F7">
        <w:rPr>
          <w:rFonts w:ascii="Times New Roman" w:hAnsi="Times New Roman" w:cs="Times New Roman"/>
          <w:color w:val="000000"/>
          <w:sz w:val="24"/>
          <w:szCs w:val="24"/>
          <w:lang w:eastAsia="ru-RU" w:bidi="ru-RU"/>
        </w:rPr>
        <w:t>дислипидемия</w:t>
      </w:r>
      <w:proofErr w:type="spellEnd"/>
      <w:r w:rsidR="005F6FDF" w:rsidRPr="007339F7">
        <w:rPr>
          <w:rFonts w:ascii="Times New Roman" w:hAnsi="Times New Roman" w:cs="Times New Roman"/>
          <w:color w:val="000000"/>
          <w:sz w:val="24"/>
          <w:szCs w:val="24"/>
          <w:lang w:eastAsia="ru-RU" w:bidi="ru-RU"/>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 № 869н "Об утверждении порядка проведения диспансеризации определенных групп взрослого населения", за исключением:</w:t>
      </w:r>
    </w:p>
    <w:p w:rsidR="005F6FDF" w:rsidRPr="007339F7" w:rsidRDefault="005F6FDF" w:rsidP="005F6FDF">
      <w:pPr>
        <w:widowControl w:val="0"/>
        <w:numPr>
          <w:ilvl w:val="0"/>
          <w:numId w:val="5"/>
        </w:numPr>
        <w:tabs>
          <w:tab w:val="left" w:pos="108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5F6FDF" w:rsidRPr="007339F7" w:rsidRDefault="005F6FDF" w:rsidP="005F6FDF">
      <w:pPr>
        <w:widowControl w:val="0"/>
        <w:numPr>
          <w:ilvl w:val="0"/>
          <w:numId w:val="5"/>
        </w:numPr>
        <w:tabs>
          <w:tab w:val="left" w:pos="108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диспансеризации, проводимой ежегодно вне зависимости от возраста в отношении отдельных категорий граждан, включая:</w:t>
      </w:r>
    </w:p>
    <w:p w:rsidR="005F6FDF" w:rsidRPr="007339F7" w:rsidRDefault="005F6FDF" w:rsidP="005F6FDF">
      <w:pPr>
        <w:tabs>
          <w:tab w:val="left" w:pos="108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а)</w:t>
      </w:r>
      <w:r w:rsidRPr="007339F7">
        <w:rPr>
          <w:rFonts w:ascii="Times New Roman" w:hAnsi="Times New Roman" w:cs="Times New Roman"/>
          <w:color w:val="000000"/>
          <w:sz w:val="24"/>
          <w:szCs w:val="24"/>
          <w:lang w:eastAsia="ru-RU" w:bidi="ru-RU"/>
        </w:rPr>
        <w:tab/>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F6FDF" w:rsidRPr="007339F7" w:rsidRDefault="005F6FDF" w:rsidP="005F6FDF">
      <w:pPr>
        <w:tabs>
          <w:tab w:val="left" w:pos="108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б)</w:t>
      </w:r>
      <w:r w:rsidRPr="007339F7">
        <w:rPr>
          <w:rFonts w:ascii="Times New Roman" w:hAnsi="Times New Roman" w:cs="Times New Roman"/>
          <w:color w:val="000000"/>
          <w:sz w:val="24"/>
          <w:szCs w:val="24"/>
          <w:lang w:eastAsia="ru-RU" w:bidi="ru-RU"/>
        </w:rPr>
        <w:tab/>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F6FDF" w:rsidRPr="007339F7" w:rsidRDefault="005F6FDF" w:rsidP="005F6FDF">
      <w:pPr>
        <w:tabs>
          <w:tab w:val="left" w:pos="108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w:t>
      </w:r>
      <w:r w:rsidRPr="007339F7">
        <w:rPr>
          <w:rFonts w:ascii="Times New Roman" w:hAnsi="Times New Roman" w:cs="Times New Roman"/>
          <w:color w:val="000000"/>
          <w:sz w:val="24"/>
          <w:szCs w:val="24"/>
          <w:lang w:eastAsia="ru-RU" w:bidi="ru-RU"/>
        </w:rPr>
        <w:tab/>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РФ от 26.10.2017 № 869н "Об утверждении порядка проведения диспансеризации определенных групп взрослого населения".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соответствии с подпунктом 2 пункта 1 статьи 2 Закона Республики Саха (Якутия) от 14 марта 2016 г. 1614-З № 785-V «О мерах социальной поддержки граждан, потерявших одного из родителей в период Великой Отечественной войны 1941 - 1945 годов», гражданам, не достигшим возраста 18 лет по состоянию на 3 сентября 1945 года, один из родителей которых являлся участником Великой Отечественной войны и в период с 22 июня 1941 года по 2 сентября 1945 года погиб или пропал без вести при защите Отечества, либо умер вследствие увечья, ранения, контузии или заболевания, полученных при исполнении обязанностей военной службы, в медицинской организации, куда поступил в указанный период, или после перевода из данной организации в другую медицинскую организацию для продолжения лечения предусмотрена ежегодная диспансеризация.</w:t>
      </w:r>
    </w:p>
    <w:p w:rsidR="005F6FDF" w:rsidRPr="007339F7" w:rsidRDefault="005F6FDF" w:rsidP="005F6FDF">
      <w:pPr>
        <w:tabs>
          <w:tab w:val="left" w:pos="2088"/>
          <w:tab w:val="left" w:pos="7114"/>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или «акушерству и гинекологии (за исключением вспомогательных репродуктивных технологий)», «акушерскому</w:t>
      </w:r>
      <w:r w:rsidRPr="007339F7">
        <w:rPr>
          <w:rFonts w:ascii="Times New Roman" w:hAnsi="Times New Roman" w:cs="Times New Roman"/>
          <w:color w:val="000000"/>
          <w:sz w:val="24"/>
          <w:szCs w:val="24"/>
          <w:lang w:eastAsia="ru-RU" w:bidi="ru-RU"/>
        </w:rPr>
        <w:tab/>
        <w:t>делу»</w:t>
      </w:r>
      <w:r w:rsidR="00B632E9">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или «лечебному делу»,</w:t>
      </w:r>
      <w:r w:rsidR="00B632E9">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«офтальмологии»,</w:t>
      </w:r>
    </w:p>
    <w:p w:rsidR="005F6FDF" w:rsidRPr="007339F7" w:rsidRDefault="005F6FDF" w:rsidP="00246BB3">
      <w:pPr>
        <w:tabs>
          <w:tab w:val="left" w:pos="2088"/>
          <w:tab w:val="left" w:pos="7114"/>
        </w:tabs>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«неврологии», «хирургии», «рентгенологии», «клинической лабораторной </w:t>
      </w:r>
      <w:proofErr w:type="spellStart"/>
      <w:r w:rsidRPr="007339F7">
        <w:rPr>
          <w:rFonts w:ascii="Times New Roman" w:hAnsi="Times New Roman" w:cs="Times New Roman"/>
          <w:color w:val="000000"/>
          <w:sz w:val="24"/>
          <w:szCs w:val="24"/>
          <w:lang w:eastAsia="ru-RU" w:bidi="ru-RU"/>
        </w:rPr>
        <w:t>диаг</w:t>
      </w:r>
      <w:r w:rsidR="00246BB3">
        <w:rPr>
          <w:rFonts w:ascii="Times New Roman" w:hAnsi="Times New Roman" w:cs="Times New Roman"/>
          <w:color w:val="000000"/>
          <w:sz w:val="24"/>
          <w:szCs w:val="24"/>
          <w:lang w:eastAsia="ru-RU" w:bidi="ru-RU"/>
        </w:rPr>
        <w:t>ностике</w:t>
      </w:r>
      <w:r w:rsidRPr="007339F7">
        <w:rPr>
          <w:rFonts w:ascii="Times New Roman" w:hAnsi="Times New Roman" w:cs="Times New Roman"/>
          <w:color w:val="000000"/>
          <w:sz w:val="24"/>
          <w:szCs w:val="24"/>
          <w:lang w:eastAsia="ru-RU" w:bidi="ru-RU"/>
        </w:rPr>
        <w:t>или</w:t>
      </w:r>
      <w:proofErr w:type="spellEnd"/>
      <w:r w:rsidRPr="007339F7">
        <w:rPr>
          <w:rFonts w:ascii="Times New Roman" w:hAnsi="Times New Roman" w:cs="Times New Roman"/>
          <w:color w:val="000000"/>
          <w:sz w:val="24"/>
          <w:szCs w:val="24"/>
          <w:lang w:eastAsia="ru-RU" w:bidi="ru-RU"/>
        </w:rPr>
        <w:t xml:space="preserve"> «лабораторной диагностике»,</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«функциональной</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диагностике», «ультразвуковой диагностике», «эндоскопии».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w:t>
      </w:r>
      <w:r w:rsidRPr="007339F7">
        <w:rPr>
          <w:rFonts w:ascii="Times New Roman" w:hAnsi="Times New Roman" w:cs="Times New Roman"/>
          <w:color w:val="000000"/>
          <w:sz w:val="24"/>
          <w:szCs w:val="24"/>
          <w:lang w:eastAsia="ru-RU" w:bidi="ru-RU"/>
        </w:rPr>
        <w:lastRenderedPageBreak/>
        <w:t>лицензию на требуемые виды работ (услуг), о привлечении соответствующих медицинских работников к проведению диспансеризации.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(состояния) на втором этапе диспансеризации.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Основными критериями эффективности диспансеризации взрослого населения являются:</w:t>
      </w:r>
    </w:p>
    <w:p w:rsidR="005F6FDF" w:rsidRPr="007339F7" w:rsidRDefault="005F6FDF" w:rsidP="005F6FDF">
      <w:pPr>
        <w:widowControl w:val="0"/>
        <w:numPr>
          <w:ilvl w:val="0"/>
          <w:numId w:val="6"/>
        </w:numPr>
        <w:tabs>
          <w:tab w:val="left" w:pos="109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p>
    <w:p w:rsidR="005F6FDF" w:rsidRPr="007339F7" w:rsidRDefault="005F6FDF" w:rsidP="005F6FDF">
      <w:pPr>
        <w:widowControl w:val="0"/>
        <w:numPr>
          <w:ilvl w:val="0"/>
          <w:numId w:val="6"/>
        </w:numPr>
        <w:tabs>
          <w:tab w:val="left" w:pos="1388"/>
          <w:tab w:val="left" w:pos="2482"/>
          <w:tab w:val="left" w:pos="4935"/>
          <w:tab w:val="left" w:pos="6951"/>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охват</w:t>
      </w:r>
      <w:r w:rsidRPr="007339F7">
        <w:rPr>
          <w:rFonts w:ascii="Times New Roman" w:hAnsi="Times New Roman" w:cs="Times New Roman"/>
          <w:color w:val="000000"/>
          <w:sz w:val="24"/>
          <w:szCs w:val="24"/>
          <w:lang w:eastAsia="ru-RU" w:bidi="ru-RU"/>
        </w:rPr>
        <w:tab/>
        <w:t>индивидуальным</w:t>
      </w:r>
      <w:r w:rsidRPr="007339F7">
        <w:rPr>
          <w:rFonts w:ascii="Times New Roman" w:hAnsi="Times New Roman" w:cs="Times New Roman"/>
          <w:color w:val="000000"/>
          <w:sz w:val="24"/>
          <w:szCs w:val="24"/>
          <w:lang w:eastAsia="ru-RU" w:bidi="ru-RU"/>
        </w:rPr>
        <w:tab/>
        <w:t>углубленным</w:t>
      </w:r>
      <w:r w:rsidRPr="007339F7">
        <w:rPr>
          <w:rFonts w:ascii="Times New Roman" w:hAnsi="Times New Roman" w:cs="Times New Roman"/>
          <w:color w:val="000000"/>
          <w:sz w:val="24"/>
          <w:szCs w:val="24"/>
          <w:lang w:eastAsia="ru-RU" w:bidi="ru-RU"/>
        </w:rPr>
        <w:tab/>
        <w:t>профилактическим</w:t>
      </w:r>
    </w:p>
    <w:p w:rsidR="005F6FDF" w:rsidRPr="007339F7" w:rsidRDefault="005F6FDF" w:rsidP="00246BB3">
      <w:pPr>
        <w:tabs>
          <w:tab w:val="left" w:pos="6951"/>
        </w:tabs>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консультированием граждан со II и Ша группой состояния здоровья, а также граждан с Ш</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профилактического</w:t>
      </w:r>
      <w:r w:rsidR="00246BB3">
        <w:rPr>
          <w:rFonts w:ascii="Times New Roman" w:hAnsi="Times New Roman" w:cs="Times New Roman"/>
          <w:color w:val="000000"/>
          <w:sz w:val="24"/>
          <w:szCs w:val="24"/>
          <w:lang w:eastAsia="ru-RU" w:bidi="ru-RU"/>
        </w:rPr>
        <w:t xml:space="preserve"> </w:t>
      </w:r>
      <w:r w:rsidRPr="007339F7">
        <w:rPr>
          <w:rFonts w:ascii="Times New Roman" w:hAnsi="Times New Roman" w:cs="Times New Roman"/>
          <w:color w:val="000000"/>
          <w:sz w:val="24"/>
          <w:szCs w:val="24"/>
          <w:lang w:eastAsia="ru-RU" w:bidi="ru-RU"/>
        </w:rPr>
        <w:t>консультирования);</w:t>
      </w:r>
    </w:p>
    <w:p w:rsidR="005F6FDF" w:rsidRPr="007339F7" w:rsidRDefault="005F6FDF" w:rsidP="005F6FDF">
      <w:pPr>
        <w:widowControl w:val="0"/>
        <w:numPr>
          <w:ilvl w:val="0"/>
          <w:numId w:val="6"/>
        </w:numPr>
        <w:tabs>
          <w:tab w:val="left" w:pos="1097"/>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охват групповым профилактическим консультированием (школа пациента) граждан с II и Ша группами состояния здоровья, а также граждан с </w:t>
      </w:r>
      <w:proofErr w:type="spellStart"/>
      <w:r w:rsidRPr="007339F7">
        <w:rPr>
          <w:rFonts w:ascii="Times New Roman" w:hAnsi="Times New Roman" w:cs="Times New Roman"/>
          <w:color w:val="000000"/>
          <w:sz w:val="24"/>
          <w:szCs w:val="24"/>
          <w:lang w:eastAsia="ru-RU" w:bidi="ru-RU"/>
        </w:rPr>
        <w:t>Шб</w:t>
      </w:r>
      <w:proofErr w:type="spellEnd"/>
      <w:r w:rsidRPr="007339F7">
        <w:rPr>
          <w:rFonts w:ascii="Times New Roman" w:hAnsi="Times New Roman" w:cs="Times New Roman"/>
          <w:color w:val="000000"/>
          <w:sz w:val="24"/>
          <w:szCs w:val="24"/>
          <w:lang w:eastAsia="ru-RU" w:bidi="ru-RU"/>
        </w:rPr>
        <w:t xml:space="preserve">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группового профилактического консультирования).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доступности медицинских организаций.</w:t>
      </w:r>
    </w:p>
    <w:p w:rsidR="005F6FDF" w:rsidRPr="007339F7" w:rsidRDefault="005F6FDF" w:rsidP="005F6FDF">
      <w:pPr>
        <w:widowControl w:val="0"/>
        <w:numPr>
          <w:ilvl w:val="0"/>
          <w:numId w:val="4"/>
        </w:numPr>
        <w:tabs>
          <w:tab w:val="left" w:pos="1613"/>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Целевые значения критериев доступности и качества медицинской помощи, оказываемой в рамках территориальной программы, установлены согласно разделу IX Программы.</w:t>
      </w:r>
    </w:p>
    <w:p w:rsidR="005F6FDF" w:rsidRPr="007339F7" w:rsidRDefault="005F6FDF" w:rsidP="005F6FDF">
      <w:pPr>
        <w:widowControl w:val="0"/>
        <w:numPr>
          <w:ilvl w:val="0"/>
          <w:numId w:val="4"/>
        </w:numPr>
        <w:tabs>
          <w:tab w:val="left" w:pos="1388"/>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Программе.</w:t>
      </w:r>
    </w:p>
    <w:p w:rsidR="005F6FDF" w:rsidRPr="007339F7" w:rsidRDefault="005F6FDF" w:rsidP="005F6FDF">
      <w:pPr>
        <w:widowControl w:val="0"/>
        <w:numPr>
          <w:ilvl w:val="0"/>
          <w:numId w:val="4"/>
        </w:numPr>
        <w:tabs>
          <w:tab w:val="left" w:pos="1374"/>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Сроки ожидания меди</w:t>
      </w:r>
      <w:r w:rsidRPr="007339F7">
        <w:rPr>
          <w:rStyle w:val="20"/>
          <w:rFonts w:eastAsiaTheme="minorHAnsi"/>
          <w:sz w:val="24"/>
          <w:szCs w:val="24"/>
        </w:rPr>
        <w:t>ц</w:t>
      </w:r>
      <w:r w:rsidRPr="007339F7">
        <w:rPr>
          <w:rFonts w:ascii="Times New Roman" w:hAnsi="Times New Roman" w:cs="Times New Roman"/>
          <w:color w:val="000000"/>
          <w:sz w:val="24"/>
          <w:szCs w:val="24"/>
          <w:lang w:eastAsia="ru-RU" w:bidi="ru-RU"/>
        </w:rPr>
        <w:t>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F6FDF" w:rsidRPr="007339F7" w:rsidRDefault="005F6FDF" w:rsidP="005F6FDF">
      <w:pPr>
        <w:tabs>
          <w:tab w:val="left" w:pos="2002"/>
          <w:tab w:val="left" w:pos="4211"/>
        </w:tabs>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w:t>
      </w:r>
      <w:r w:rsidRPr="007339F7">
        <w:rPr>
          <w:rFonts w:ascii="Times New Roman" w:hAnsi="Times New Roman" w:cs="Times New Roman"/>
          <w:color w:val="000000"/>
          <w:sz w:val="24"/>
          <w:szCs w:val="24"/>
          <w:lang w:eastAsia="ru-RU" w:bidi="ru-RU"/>
        </w:rPr>
        <w:tab/>
        <w:t>проведения</w:t>
      </w:r>
      <w:r w:rsidRPr="007339F7">
        <w:rPr>
          <w:rFonts w:ascii="Times New Roman" w:hAnsi="Times New Roman" w:cs="Times New Roman"/>
          <w:color w:val="000000"/>
          <w:sz w:val="24"/>
          <w:szCs w:val="24"/>
          <w:lang w:eastAsia="ru-RU" w:bidi="ru-RU"/>
        </w:rPr>
        <w:tab/>
        <w:t>диагностических инструментальных</w:t>
      </w:r>
    </w:p>
    <w:p w:rsidR="005F6FDF" w:rsidRPr="007339F7" w:rsidRDefault="005F6FDF" w:rsidP="005F6FDF">
      <w:pPr>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F6FDF" w:rsidRPr="007339F7" w:rsidRDefault="005F6FDF" w:rsidP="005F6FDF">
      <w:pPr>
        <w:tabs>
          <w:tab w:val="left" w:pos="2002"/>
          <w:tab w:val="left" w:pos="6595"/>
        </w:tabs>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сроки проведения компьютерной томографии (включая однофотонную эмиссионную</w:t>
      </w:r>
      <w:r w:rsidRPr="007339F7">
        <w:rPr>
          <w:rFonts w:ascii="Times New Roman" w:hAnsi="Times New Roman" w:cs="Times New Roman"/>
          <w:color w:val="000000"/>
          <w:sz w:val="24"/>
          <w:szCs w:val="24"/>
          <w:lang w:eastAsia="ru-RU" w:bidi="ru-RU"/>
        </w:rPr>
        <w:tab/>
        <w:t>компьютерную томографию),</w:t>
      </w:r>
      <w:r w:rsidRPr="007339F7">
        <w:rPr>
          <w:rFonts w:ascii="Times New Roman" w:hAnsi="Times New Roman" w:cs="Times New Roman"/>
          <w:color w:val="000000"/>
          <w:sz w:val="24"/>
          <w:szCs w:val="24"/>
          <w:lang w:eastAsia="ru-RU" w:bidi="ru-RU"/>
        </w:rPr>
        <w:tab/>
        <w:t>магнитно-резонансной</w:t>
      </w:r>
    </w:p>
    <w:p w:rsidR="005F6FDF" w:rsidRPr="007339F7" w:rsidRDefault="005F6FDF" w:rsidP="005F6FDF">
      <w:pPr>
        <w:spacing w:after="0" w:line="360" w:lineRule="exact"/>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томографии и ангиографии при оказании первичной медико-санитарной помощи не должны превышать 30 календарных дней со дня назначения;</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время </w:t>
      </w:r>
      <w:proofErr w:type="spellStart"/>
      <w:r w:rsidRPr="007339F7">
        <w:rPr>
          <w:rFonts w:ascii="Times New Roman" w:hAnsi="Times New Roman" w:cs="Times New Roman"/>
          <w:color w:val="000000"/>
          <w:sz w:val="24"/>
          <w:szCs w:val="24"/>
          <w:lang w:eastAsia="ru-RU" w:bidi="ru-RU"/>
        </w:rPr>
        <w:t>доезда</w:t>
      </w:r>
      <w:proofErr w:type="spellEnd"/>
      <w:r w:rsidRPr="007339F7">
        <w:rPr>
          <w:rFonts w:ascii="Times New Roman" w:hAnsi="Times New Roman" w:cs="Times New Roman"/>
          <w:color w:val="000000"/>
          <w:sz w:val="24"/>
          <w:szCs w:val="24"/>
          <w:lang w:eastAsia="ru-RU" w:bidi="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7339F7">
        <w:rPr>
          <w:rFonts w:ascii="Times New Roman" w:hAnsi="Times New Roman" w:cs="Times New Roman"/>
          <w:color w:val="000000"/>
          <w:sz w:val="24"/>
          <w:szCs w:val="24"/>
          <w:lang w:eastAsia="ru-RU" w:bidi="ru-RU"/>
        </w:rPr>
        <w:t>доезда</w:t>
      </w:r>
      <w:proofErr w:type="spellEnd"/>
      <w:r w:rsidRPr="007339F7">
        <w:rPr>
          <w:rFonts w:ascii="Times New Roman" w:hAnsi="Times New Roman" w:cs="Times New Roman"/>
          <w:color w:val="000000"/>
          <w:sz w:val="24"/>
          <w:szCs w:val="24"/>
          <w:lang w:eastAsia="ru-RU" w:bidi="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F6FDF" w:rsidRPr="007339F7" w:rsidRDefault="005F6FDF" w:rsidP="005F6FDF">
      <w:pPr>
        <w:spacing w:after="0" w:line="360" w:lineRule="exact"/>
        <w:ind w:firstLine="6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w:t>
      </w:r>
      <w:r w:rsidRPr="007339F7">
        <w:rPr>
          <w:rFonts w:ascii="Times New Roman" w:hAnsi="Times New Roman" w:cs="Times New Roman"/>
          <w:color w:val="000000"/>
          <w:sz w:val="24"/>
          <w:szCs w:val="24"/>
          <w:lang w:eastAsia="ru-RU" w:bidi="ru-RU"/>
        </w:rPr>
        <w:lastRenderedPageBreak/>
        <w:t>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медицинскую организации.</w:t>
      </w:r>
    </w:p>
    <w:p w:rsidR="005F6FDF" w:rsidRPr="007339F7" w:rsidRDefault="005F6FDF" w:rsidP="005F6FDF">
      <w:pPr>
        <w:widowControl w:val="0"/>
        <w:numPr>
          <w:ilvl w:val="0"/>
          <w:numId w:val="4"/>
        </w:numPr>
        <w:tabs>
          <w:tab w:val="left" w:pos="1383"/>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 - 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Регистрация и осмотр пациента, направленного в стационарное учреждение в плановом порядке, проводится медицинским работником имею</w:t>
      </w:r>
      <w:r w:rsidRPr="007339F7">
        <w:rPr>
          <w:rStyle w:val="20"/>
          <w:rFonts w:eastAsiaTheme="minorHAnsi"/>
          <w:sz w:val="24"/>
          <w:szCs w:val="24"/>
        </w:rPr>
        <w:t>щ</w:t>
      </w:r>
      <w:r w:rsidRPr="007339F7">
        <w:rPr>
          <w:rFonts w:ascii="Times New Roman" w:hAnsi="Times New Roman" w:cs="Times New Roman"/>
          <w:color w:val="000000"/>
          <w:sz w:val="24"/>
          <w:szCs w:val="24"/>
          <w:lang w:eastAsia="ru-RU" w:bidi="ru-RU"/>
        </w:rPr>
        <w:t>им среднее или высшее медицинское образование, в течение 2 часов с момента поступления, по экстренным показаниям - незамедлительно.</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Регистрация и осмотр пациента, доставленного в стационарное учреждение по экстренным показаниям, проводится медицинским работником стационарного учреждения незамедлительно, повторный осмотр - не позднее чем через 1 час.</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F6FDF" w:rsidRPr="007339F7" w:rsidRDefault="005F6FDF" w:rsidP="005F6FDF">
      <w:pPr>
        <w:widowControl w:val="0"/>
        <w:numPr>
          <w:ilvl w:val="0"/>
          <w:numId w:val="4"/>
        </w:numPr>
        <w:tabs>
          <w:tab w:val="left" w:pos="1383"/>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 xml:space="preserve">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 соответствии со стандартами медицинской помощи, порядками оказания медицинской помощи и сложившейся </w:t>
      </w:r>
      <w:r w:rsidRPr="007339F7">
        <w:rPr>
          <w:rFonts w:ascii="Times New Roman" w:hAnsi="Times New Roman" w:cs="Times New Roman"/>
          <w:color w:val="000000"/>
          <w:sz w:val="24"/>
          <w:szCs w:val="24"/>
          <w:lang w:eastAsia="ru-RU" w:bidi="ru-RU"/>
        </w:rPr>
        <w:lastRenderedPageBreak/>
        <w:t>клинической практикой.</w:t>
      </w:r>
    </w:p>
    <w:p w:rsidR="005F6FDF" w:rsidRPr="007339F7" w:rsidRDefault="005F6FDF" w:rsidP="005F6FDF">
      <w:pPr>
        <w:widowControl w:val="0"/>
        <w:numPr>
          <w:ilvl w:val="0"/>
          <w:numId w:val="4"/>
        </w:numPr>
        <w:tabs>
          <w:tab w:val="left" w:pos="1675"/>
        </w:tabs>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четкими и читабельными;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фамилия и инициалы врача должны быть записаны полностью;</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самостоятельное обращение пациента на консультацию к врачу- специалисту возможно при наличии экстренных и неотложных показаний и в соответствии с порядками оказания медицинской помощи;</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p>
    <w:p w:rsidR="005F6FDF" w:rsidRPr="007339F7" w:rsidRDefault="005F6FDF" w:rsidP="005F6FDF">
      <w:pPr>
        <w:spacing w:after="0" w:line="360" w:lineRule="exact"/>
        <w:ind w:firstLine="74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врач-специалист, осуществивший консультацию пациента по направлению, обязан довести результаты консультации до сведения лечащего врача;</w:t>
      </w:r>
    </w:p>
    <w:p w:rsidR="005F6FDF" w:rsidRPr="007339F7" w:rsidRDefault="005F6FDF" w:rsidP="005F6FDF">
      <w:pPr>
        <w:spacing w:after="0"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прохождении пациентом диагностических исследований и/или консультаций специалистов на платной основе в медицинскую карту больного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5F6FDF" w:rsidRPr="007339F7" w:rsidRDefault="005F6FDF" w:rsidP="005F6FDF">
      <w:pPr>
        <w:spacing w:after="0"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За утрату медицинской документации предусмотрена ответственность в соответствии с действующим законодательством.</w:t>
      </w:r>
    </w:p>
    <w:p w:rsidR="005F6FDF" w:rsidRPr="007339F7" w:rsidRDefault="005F6FDF" w:rsidP="005F6FDF">
      <w:pPr>
        <w:spacing w:after="0"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5F6FDF" w:rsidRPr="007339F7" w:rsidRDefault="005F6FDF" w:rsidP="005F6FDF">
      <w:pPr>
        <w:spacing w:after="0"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руководитель структурного подразделения медицинской организации, руководитель медицинской организации;</w:t>
      </w:r>
    </w:p>
    <w:p w:rsidR="005F6FDF" w:rsidRPr="007339F7" w:rsidRDefault="005F6FDF" w:rsidP="005F6FDF">
      <w:pPr>
        <w:spacing w:after="0"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t>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Контакт-Центр здравоохранения Республики Саха (Якутия) телефон «Горячей линии» 8-800-100-1403.</w:t>
      </w:r>
    </w:p>
    <w:p w:rsidR="005F6FDF" w:rsidRPr="007339F7" w:rsidRDefault="005F6FDF" w:rsidP="005F6FDF">
      <w:pPr>
        <w:spacing w:after="304" w:line="360" w:lineRule="exact"/>
        <w:ind w:firstLine="800"/>
        <w:jc w:val="both"/>
        <w:rPr>
          <w:rFonts w:ascii="Times New Roman" w:hAnsi="Times New Roman" w:cs="Times New Roman"/>
          <w:sz w:val="24"/>
          <w:szCs w:val="24"/>
        </w:rPr>
      </w:pPr>
      <w:r w:rsidRPr="007339F7">
        <w:rPr>
          <w:rFonts w:ascii="Times New Roman" w:hAnsi="Times New Roman" w:cs="Times New Roman"/>
          <w:color w:val="000000"/>
          <w:sz w:val="24"/>
          <w:szCs w:val="24"/>
          <w:lang w:eastAsia="ru-RU" w:bidi="ru-RU"/>
        </w:rPr>
        <w:lastRenderedPageBreak/>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включая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организации.</w:t>
      </w:r>
    </w:p>
    <w:bookmarkEnd w:id="1"/>
    <w:p w:rsidR="002678EB" w:rsidRPr="007339F7" w:rsidRDefault="002678EB">
      <w:pPr>
        <w:rPr>
          <w:rFonts w:ascii="Times New Roman" w:hAnsi="Times New Roman" w:cs="Times New Roman"/>
          <w:sz w:val="24"/>
          <w:szCs w:val="24"/>
        </w:rPr>
      </w:pPr>
    </w:p>
    <w:sectPr w:rsidR="002678EB" w:rsidRPr="007339F7" w:rsidSect="00267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600"/>
    <w:multiLevelType w:val="multilevel"/>
    <w:tmpl w:val="94E6A5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9083E"/>
    <w:multiLevelType w:val="multilevel"/>
    <w:tmpl w:val="AFC0C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4428CB"/>
    <w:multiLevelType w:val="multilevel"/>
    <w:tmpl w:val="7A56A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417EE9"/>
    <w:multiLevelType w:val="multilevel"/>
    <w:tmpl w:val="EEAE26BE"/>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C73046"/>
    <w:multiLevelType w:val="multilevel"/>
    <w:tmpl w:val="6538A7BC"/>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B73785"/>
    <w:multiLevelType w:val="multilevel"/>
    <w:tmpl w:val="6CBE22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F"/>
    <w:rsid w:val="00236E97"/>
    <w:rsid w:val="00246BB3"/>
    <w:rsid w:val="002678EB"/>
    <w:rsid w:val="005F43B6"/>
    <w:rsid w:val="005F562B"/>
    <w:rsid w:val="005F6FDF"/>
    <w:rsid w:val="007339F7"/>
    <w:rsid w:val="00AE380E"/>
    <w:rsid w:val="00AF37FD"/>
    <w:rsid w:val="00B632E9"/>
    <w:rsid w:val="00C021E6"/>
    <w:rsid w:val="00E351BF"/>
    <w:rsid w:val="00F8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F6E97-030C-4400-A7FA-D59860D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F6FD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5F6FD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Заголовок №2_"/>
    <w:basedOn w:val="a0"/>
    <w:link w:val="22"/>
    <w:rsid w:val="005F6FDF"/>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F6FDF"/>
    <w:pPr>
      <w:widowControl w:val="0"/>
      <w:shd w:val="clear" w:color="auto" w:fill="FFFFFF"/>
      <w:spacing w:after="420" w:line="0" w:lineRule="atLeast"/>
      <w:ind w:hanging="1260"/>
      <w:jc w:val="both"/>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НоговицинаЕС</dc:creator>
  <cp:lastModifiedBy>Шадрин Виктор Павлович</cp:lastModifiedBy>
  <cp:revision>2</cp:revision>
  <dcterms:created xsi:type="dcterms:W3CDTF">2018-02-07T00:10:00Z</dcterms:created>
  <dcterms:modified xsi:type="dcterms:W3CDTF">2018-02-07T00:10:00Z</dcterms:modified>
</cp:coreProperties>
</file>